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330" w:line="420"/>
        <w:ind w:right="0" w:left="0" w:firstLine="0"/>
        <w:jc w:val="both"/>
        <w:rPr>
          <w:rFonts w:ascii="Times New Roman" w:hAnsi="Times New Roman" w:cs="Times New Roman" w:eastAsia="Times New Roman"/>
          <w:b/>
          <w:color w:val="auto"/>
          <w:spacing w:val="0"/>
          <w:position w:val="0"/>
          <w:sz w:val="24"/>
          <w:shd w:fill="FFFFFF" w:val="clear"/>
        </w:rPr>
      </w:pPr>
      <w:r>
        <w:object w:dxaOrig="2131" w:dyaOrig="1324">
          <v:rect xmlns:o="urn:schemas-microsoft-com:office:office" xmlns:v="urn:schemas-microsoft-com:vml" id="rectole0000000000" style="width:106.550000pt;height:66.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4"/>
          <w:shd w:fill="FFFFFF" w:val="clear"/>
        </w:rPr>
        <w:t xml:space="preserve">         </w:t>
      </w:r>
    </w:p>
    <w:p>
      <w:pPr>
        <w:spacing w:before="0" w:after="200" w:line="276"/>
        <w:ind w:right="0" w:left="0" w:firstLine="0"/>
        <w:jc w:val="left"/>
        <w:rPr>
          <w:rFonts w:ascii="Calibri" w:hAnsi="Calibri" w:cs="Calibri" w:eastAsia="Calibri"/>
          <w:b/>
          <w:i/>
          <w:color w:val="1F497D"/>
          <w:spacing w:val="0"/>
          <w:position w:val="0"/>
          <w:sz w:val="22"/>
          <w:shd w:fill="auto" w:val="clear"/>
        </w:rPr>
      </w:pPr>
      <w:r>
        <w:rPr>
          <w:rFonts w:ascii="Calibri" w:hAnsi="Calibri" w:cs="Calibri" w:eastAsia="Calibri"/>
          <w:b/>
          <w:i/>
          <w:color w:val="1F497D"/>
          <w:spacing w:val="0"/>
          <w:position w:val="0"/>
          <w:sz w:val="22"/>
          <w:shd w:fill="auto" w:val="clear"/>
        </w:rPr>
        <w:t xml:space="preserve">                                        « Reprenez votre destin professionnel en main »</w:t>
      </w:r>
    </w:p>
    <w:p>
      <w:pPr>
        <w:spacing w:before="0" w:after="200" w:line="276"/>
        <w:ind w:right="0" w:left="0" w:firstLine="0"/>
        <w:jc w:val="center"/>
        <w:rPr>
          <w:rFonts w:ascii="Calibri" w:hAnsi="Calibri" w:cs="Calibri" w:eastAsia="Calibri"/>
          <w:color w:val="632423"/>
          <w:spacing w:val="-7"/>
          <w:position w:val="0"/>
          <w:sz w:val="21"/>
          <w:shd w:fill="EFEFEE" w:val="clear"/>
        </w:rPr>
      </w:pPr>
      <w:r>
        <w:rPr>
          <w:rFonts w:ascii="Times New Roman" w:hAnsi="Times New Roman" w:cs="Times New Roman" w:eastAsia="Times New Roman"/>
          <w:b/>
          <w:i/>
          <w:color w:val="632423"/>
          <w:spacing w:val="0"/>
          <w:position w:val="0"/>
          <w:sz w:val="22"/>
          <w:shd w:fill="E36C0A" w:val="clear"/>
        </w:rPr>
        <w:t xml:space="preserve">Le CAFEX est l’institut délocalisé de l’Institut des Experts internationaux de Genève à Dakar (C</w:t>
      </w:r>
      <w:r>
        <w:rPr>
          <w:rFonts w:ascii="Calibri" w:hAnsi="Calibri" w:cs="Calibri" w:eastAsia="Calibri"/>
          <w:color w:val="632423"/>
          <w:spacing w:val="-7"/>
          <w:position w:val="0"/>
          <w:sz w:val="21"/>
          <w:shd w:fill="EFEFEE" w:val="clear"/>
        </w:rPr>
        <w:t xml:space="preserve">ONVENTION N° 2017-001 du 6 janvier 2017 , renouvelée le 30 septembre 2018)</w:t>
      </w:r>
    </w:p>
    <w:p>
      <w:pPr>
        <w:spacing w:before="0" w:after="200" w:line="276"/>
        <w:ind w:right="0" w:left="0" w:firstLine="0"/>
        <w:jc w:val="center"/>
        <w:rPr>
          <w:rFonts w:ascii="Times New Roman" w:hAnsi="Times New Roman" w:cs="Times New Roman" w:eastAsia="Times New Roman"/>
          <w:b/>
          <w:i/>
          <w:color w:val="632423"/>
          <w:spacing w:val="0"/>
          <w:position w:val="0"/>
          <w:sz w:val="22"/>
          <w:shd w:fill="CC9900" w:val="clear"/>
        </w:rPr>
      </w:pPr>
      <w:r>
        <w:rPr>
          <w:rFonts w:ascii="Calibri" w:hAnsi="Calibri" w:cs="Calibri" w:eastAsia="Calibri"/>
          <w:color w:val="632423"/>
          <w:spacing w:val="-7"/>
          <w:position w:val="0"/>
          <w:sz w:val="21"/>
          <w:shd w:fill="EFEFEE" w:val="clear"/>
        </w:rPr>
        <w:t xml:space="preserve">Autorisation Pro. N°00793/</w:t>
      </w:r>
      <w:r>
        <w:rPr>
          <w:rFonts w:ascii="Calibri" w:hAnsi="Calibri" w:cs="Calibri" w:eastAsia="Calibri"/>
          <w:b/>
          <w:color w:val="632423"/>
          <w:spacing w:val="-7"/>
          <w:position w:val="0"/>
          <w:sz w:val="21"/>
          <w:shd w:fill="EFEFEE" w:val="clear"/>
        </w:rPr>
        <w:t xml:space="preserve">MFPAA</w:t>
      </w:r>
      <w:r>
        <w:rPr>
          <w:rFonts w:ascii="Calibri" w:hAnsi="Calibri" w:cs="Calibri" w:eastAsia="Calibri"/>
          <w:color w:val="632423"/>
          <w:spacing w:val="-7"/>
          <w:position w:val="0"/>
          <w:sz w:val="21"/>
          <w:shd w:fill="EFEFEE" w:val="clear"/>
        </w:rPr>
        <w:t xml:space="preserve">/SG/DFPT/at du 02 novembre 2017</w:t>
      </w:r>
    </w:p>
    <w:p>
      <w:pPr>
        <w:keepNext w:val="true"/>
        <w:keepLines w:val="true"/>
        <w:spacing w:before="0" w:after="330" w:line="420"/>
        <w:ind w:right="0" w:left="0" w:firstLine="0"/>
        <w:jc w:val="center"/>
        <w:rPr>
          <w:rFonts w:ascii="Times New Roman" w:hAnsi="Times New Roman" w:cs="Times New Roman" w:eastAsia="Times New Roman"/>
          <w:b/>
          <w:color w:val="0F243E"/>
          <w:spacing w:val="0"/>
          <w:position w:val="0"/>
          <w:sz w:val="24"/>
          <w:shd w:fill="FFFFFF" w:val="clear"/>
        </w:rPr>
      </w:pPr>
      <w:r>
        <w:rPr>
          <w:rFonts w:ascii="Times New Roman" w:hAnsi="Times New Roman" w:cs="Times New Roman" w:eastAsia="Times New Roman"/>
          <w:b/>
          <w:color w:val="0F243E"/>
          <w:spacing w:val="0"/>
          <w:position w:val="0"/>
          <w:sz w:val="24"/>
          <w:shd w:fill="FFFFFF" w:val="clear"/>
        </w:rPr>
        <w:t xml:space="preserve">Formation aux métiers de consultant(e)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PROGRAMME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formation aux métiers de consultant est  organisée en quatre Unités de formation (UF). Chaque UF est divisée en Unités de  compétences (UC) et chaque UC en modules pour un quantum horaire de 230 heures en présentiel. Les UC  N° 2, 3 et 4  donnent lieu à des ateliers de méthode. Les ateliers de professionnalisation sont organisés en soutien aux activités de stage pratiques encadrés par des cabinets partenaires.  </w:t>
      </w:r>
    </w:p>
    <w:p>
      <w:pPr>
        <w:numPr>
          <w:ilvl w:val="0"/>
          <w:numId w:val="7"/>
        </w:numPr>
        <w:spacing w:before="0" w:after="0" w:line="240"/>
        <w:ind w:right="0" w:left="720" w:hanging="360"/>
        <w:jc w:val="center"/>
        <w:rPr>
          <w:rFonts w:ascii="Times New Roman" w:hAnsi="Times New Roman" w:cs="Times New Roman" w:eastAsia="Times New Roman"/>
          <w:b/>
          <w:color w:val="0F243E"/>
          <w:spacing w:val="8"/>
          <w:position w:val="0"/>
          <w:sz w:val="28"/>
          <w:shd w:fill="FFFFFF" w:val="clear"/>
        </w:rPr>
      </w:pPr>
      <w:r>
        <w:rPr>
          <w:rFonts w:ascii="Times New Roman" w:hAnsi="Times New Roman" w:cs="Times New Roman" w:eastAsia="Times New Roman"/>
          <w:b/>
          <w:color w:val="0F243E"/>
          <w:spacing w:val="8"/>
          <w:position w:val="0"/>
          <w:sz w:val="28"/>
          <w:shd w:fill="FFFFFF" w:val="clear"/>
        </w:rPr>
        <w:t xml:space="preserve">Les quatre (4) unités de formation (UF)</w:t>
      </w:r>
    </w:p>
    <w:p>
      <w:pPr>
        <w:spacing w:before="0" w:after="0" w:line="240"/>
        <w:ind w:right="0" w:left="0" w:firstLine="0"/>
        <w:jc w:val="center"/>
        <w:rPr>
          <w:rFonts w:ascii="Times New Roman" w:hAnsi="Times New Roman" w:cs="Times New Roman" w:eastAsia="Times New Roman"/>
          <w:b/>
          <w:color w:val="0F243E"/>
          <w:spacing w:val="8"/>
          <w:position w:val="0"/>
          <w:sz w:val="24"/>
          <w:shd w:fill="FFFFFF" w:val="clear"/>
        </w:rPr>
      </w:pPr>
    </w:p>
    <w:tbl>
      <w:tblPr/>
      <w:tblGrid>
        <w:gridCol w:w="6328"/>
        <w:gridCol w:w="1402"/>
        <w:gridCol w:w="1604"/>
      </w:tblGrid>
      <w:tr>
        <w:trPr>
          <w:trHeight w:val="1" w:hRule="atLeast"/>
          <w:jc w:val="left"/>
        </w:trPr>
        <w:tc>
          <w:tcPr>
            <w:tcW w:w="6328" w:type="dxa"/>
            <w:tcBorders>
              <w:top w:val="single" w:color="000000" w:sz="4"/>
              <w:left w:val="single" w:color="000000" w:sz="4"/>
              <w:bottom w:val="single" w:color="000000" w:sz="4"/>
              <w:right w:val="single" w:color="000000" w:sz="4"/>
            </w:tcBorders>
            <w:shd w:color="auto" w:fill="4f81bd"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Unités de formations </w:t>
            </w:r>
          </w:p>
        </w:tc>
        <w:tc>
          <w:tcPr>
            <w:tcW w:w="1402" w:type="dxa"/>
            <w:tcBorders>
              <w:top w:val="single" w:color="000000" w:sz="4"/>
              <w:left w:val="single" w:color="000000" w:sz="4"/>
              <w:bottom w:val="single" w:color="000000" w:sz="4"/>
              <w:right w:val="single" w:color="000000" w:sz="4"/>
            </w:tcBorders>
            <w:shd w:color="auto" w:fill="4f81bd"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Nombre d’UC (15)</w:t>
            </w:r>
          </w:p>
        </w:tc>
        <w:tc>
          <w:tcPr>
            <w:tcW w:w="1604" w:type="dxa"/>
            <w:tcBorders>
              <w:top w:val="single" w:color="000000" w:sz="4"/>
              <w:left w:val="single" w:color="000000" w:sz="4"/>
              <w:bottom w:val="single" w:color="000000" w:sz="4"/>
              <w:right w:val="single" w:color="000000" w:sz="4"/>
            </w:tcBorders>
            <w:shd w:color="auto" w:fill="4f81bd"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Quantum horaire</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40"/>
              <w:ind w:right="0" w:left="0" w:firstLine="0"/>
              <w:jc w:val="both"/>
              <w:rPr>
                <w:color w:val="auto"/>
                <w:position w:val="0"/>
              </w:rPr>
            </w:pPr>
            <w:r>
              <w:rPr>
                <w:rFonts w:ascii="Times New Roman" w:hAnsi="Times New Roman" w:cs="Times New Roman" w:eastAsia="Times New Roman"/>
                <w:b/>
                <w:color w:val="auto"/>
                <w:spacing w:val="8"/>
                <w:position w:val="0"/>
                <w:sz w:val="24"/>
                <w:shd w:fill="FFFFFF" w:val="clear"/>
              </w:rPr>
              <w:t xml:space="preserve">UF1</w:t>
            </w:r>
            <w:r>
              <w:rPr>
                <w:rFonts w:ascii="Times New Roman" w:hAnsi="Times New Roman" w:cs="Times New Roman" w:eastAsia="Times New Roman"/>
                <w:color w:val="auto"/>
                <w:spacing w:val="8"/>
                <w:position w:val="0"/>
                <w:sz w:val="24"/>
                <w:shd w:fill="FFFFFF" w:val="clear"/>
              </w:rPr>
              <w:t xml:space="preserve">-</w:t>
            </w:r>
            <w:r>
              <w:rPr>
                <w:rFonts w:ascii="Times New Roman" w:hAnsi="Times New Roman" w:cs="Times New Roman" w:eastAsia="Times New Roman"/>
                <w:b/>
                <w:color w:val="auto"/>
                <w:spacing w:val="8"/>
                <w:position w:val="0"/>
                <w:sz w:val="24"/>
                <w:shd w:fill="FFFFFF" w:val="clear"/>
              </w:rPr>
              <w:t xml:space="preserve">Devenir consultant</w:t>
            </w:r>
            <w:r>
              <w:rPr>
                <w:rFonts w:ascii="Times New Roman" w:hAnsi="Times New Roman" w:cs="Times New Roman" w:eastAsia="Times New Roman"/>
                <w:color w:val="auto"/>
                <w:spacing w:val="8"/>
                <w:position w:val="0"/>
                <w:sz w:val="24"/>
                <w:shd w:fill="FFFFFF" w:val="clear"/>
              </w:rPr>
              <w:t xml:space="preserve"> : comprendre le métier, les compétences,  les aptitudes, du consultant, choisir son modèle professionnel, se préparer aux défis ; introduction aux questions d’éthique et déontologie. </w:t>
            </w: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8"/>
                <w:position w:val="0"/>
                <w:sz w:val="24"/>
                <w:shd w:fill="auto" w:val="clear"/>
              </w:rPr>
            </w:pPr>
          </w:p>
          <w:p>
            <w:pPr>
              <w:spacing w:before="0" w:after="0" w:line="240"/>
              <w:ind w:right="0" w:left="0" w:firstLine="0"/>
              <w:jc w:val="both"/>
              <w:rPr>
                <w:position w:val="0"/>
                <w:shd w:fill="auto" w:val="clear"/>
              </w:rPr>
            </w:pP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000000"/>
                <w:spacing w:val="8"/>
                <w:position w:val="0"/>
                <w:sz w:val="24"/>
                <w:shd w:fill="auto" w:val="clear"/>
              </w:rPr>
              <w:t xml:space="preserve">2</w:t>
            </w: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8"/>
                <w:position w:val="0"/>
                <w:sz w:val="24"/>
                <w:shd w:fill="auto" w:val="clear"/>
              </w:rPr>
            </w:pPr>
          </w:p>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30  </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auto" w:fill="4f81bd" w:val="clear"/>
            <w:tcMar>
              <w:left w:w="108" w:type="dxa"/>
              <w:right w:w="108" w:type="dxa"/>
            </w:tcMar>
            <w:vAlign w:val="top"/>
          </w:tcPr>
          <w:p>
            <w:pPr>
              <w:spacing w:before="100" w:after="0" w:line="240"/>
              <w:ind w:right="0" w:left="0" w:firstLine="0"/>
              <w:jc w:val="both"/>
              <w:rPr>
                <w:rFonts w:ascii="Calibri" w:hAnsi="Calibri" w:cs="Calibri" w:eastAsia="Calibri"/>
                <w:color w:val="auto"/>
                <w:spacing w:val="0"/>
                <w:position w:val="0"/>
                <w:sz w:val="22"/>
                <w:shd w:fill="auto" w:val="clear"/>
              </w:rPr>
            </w:pPr>
          </w:p>
        </w:tc>
        <w:tc>
          <w:tcPr>
            <w:tcW w:w="1402"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04"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UF2</w:t>
            </w:r>
            <w:r>
              <w:rPr>
                <w:rFonts w:ascii="Times New Roman" w:hAnsi="Times New Roman" w:cs="Times New Roman" w:eastAsia="Times New Roman"/>
                <w:color w:val="auto"/>
                <w:spacing w:val="8"/>
                <w:position w:val="0"/>
                <w:sz w:val="24"/>
                <w:shd w:fill="FFFFFF" w:val="clear"/>
              </w:rPr>
              <w:t xml:space="preserve">-</w:t>
            </w:r>
            <w:r>
              <w:rPr>
                <w:rFonts w:ascii="Times New Roman" w:hAnsi="Times New Roman" w:cs="Times New Roman" w:eastAsia="Times New Roman"/>
                <w:b/>
                <w:color w:val="auto"/>
                <w:spacing w:val="8"/>
                <w:position w:val="0"/>
                <w:sz w:val="24"/>
                <w:shd w:fill="FFFFFF" w:val="clear"/>
              </w:rPr>
              <w:t xml:space="preserve">Exercer son métier de consultant</w:t>
            </w:r>
            <w:r>
              <w:rPr>
                <w:rFonts w:ascii="Times New Roman" w:hAnsi="Times New Roman" w:cs="Times New Roman" w:eastAsia="Times New Roman"/>
                <w:color w:val="auto"/>
                <w:spacing w:val="8"/>
                <w:position w:val="0"/>
                <w:sz w:val="24"/>
                <w:shd w:fill="FFFFFF" w:val="clear"/>
              </w:rPr>
              <w:t xml:space="preserve"> : trouver, préparer et conduire une mission de conseil </w:t>
            </w:r>
          </w:p>
          <w:p>
            <w:pPr>
              <w:spacing w:before="0" w:after="0" w:line="240"/>
              <w:ind w:right="0" w:left="0" w:firstLine="0"/>
              <w:jc w:val="both"/>
              <w:rPr>
                <w:color w:val="auto"/>
                <w:position w:val="0"/>
              </w:rPr>
            </w:pP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8"/>
                <w:position w:val="0"/>
                <w:sz w:val="24"/>
                <w:shd w:fill="auto" w:val="clear"/>
              </w:rPr>
            </w:pPr>
            <w:r>
              <w:rPr>
                <w:rFonts w:ascii="Times New Roman" w:hAnsi="Times New Roman" w:cs="Times New Roman" w:eastAsia="Times New Roman"/>
                <w:b/>
                <w:color w:val="auto"/>
                <w:spacing w:val="8"/>
                <w:position w:val="0"/>
                <w:sz w:val="24"/>
                <w:shd w:fill="auto" w:val="clear"/>
              </w:rPr>
              <w:t xml:space="preserve">        4</w:t>
            </w:r>
          </w:p>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w:t>
            </w: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4"/>
                <w:shd w:fill="auto" w:val="clear"/>
              </w:rPr>
              <w:t xml:space="preserve">          4</w:t>
            </w:r>
            <w:r>
              <w:rPr>
                <w:rFonts w:ascii="Times New Roman" w:hAnsi="Times New Roman" w:cs="Times New Roman" w:eastAsia="Times New Roman"/>
                <w:b/>
                <w:color w:val="auto"/>
                <w:spacing w:val="8"/>
                <w:position w:val="0"/>
                <w:sz w:val="24"/>
                <w:shd w:fill="auto" w:val="clear"/>
              </w:rPr>
              <w:t xml:space="preserve">0</w:t>
            </w:r>
            <w:r>
              <w:rPr>
                <w:rFonts w:ascii="Times New Roman" w:hAnsi="Times New Roman" w:cs="Times New Roman" w:eastAsia="Times New Roman"/>
                <w:color w:val="auto"/>
                <w:spacing w:val="8"/>
                <w:position w:val="0"/>
                <w:sz w:val="24"/>
                <w:shd w:fill="auto" w:val="clear"/>
              </w:rPr>
              <w:t xml:space="preserve"> </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100" w:after="0" w:line="240"/>
              <w:ind w:right="0" w:left="0" w:firstLine="0"/>
              <w:jc w:val="both"/>
              <w:rPr>
                <w:rFonts w:ascii="Calibri" w:hAnsi="Calibri" w:cs="Calibri" w:eastAsia="Calibri"/>
                <w:color w:val="auto"/>
                <w:spacing w:val="0"/>
                <w:position w:val="0"/>
                <w:sz w:val="22"/>
                <w:shd w:fill="auto" w:val="clear"/>
              </w:rPr>
            </w:pPr>
          </w:p>
        </w:tc>
        <w:tc>
          <w:tcPr>
            <w:tcW w:w="1402"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04"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UF 3- Structurer son projet professionnel et construire ses outils d’intervention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b/>
                <w:color w:val="auto"/>
                <w:spacing w:val="8"/>
                <w:position w:val="0"/>
                <w:sz w:val="24"/>
                <w:shd w:fill="auto" w:val="clear"/>
              </w:rPr>
              <w:t xml:space="preserve">30 heures)</w:t>
            </w: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3</w:t>
            </w: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30</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02"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w:t>
            </w:r>
          </w:p>
        </w:tc>
        <w:tc>
          <w:tcPr>
            <w:tcW w:w="1604"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Ateliers de méthode</w:t>
            </w: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w:t>
            </w: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20</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Ateliers de professionnalisation</w:t>
            </w: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2</w:t>
            </w: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         20</w:t>
            </w:r>
          </w:p>
        </w:tc>
      </w:tr>
      <w:tr>
        <w:trPr>
          <w:trHeight w:val="1" w:hRule="atLeast"/>
          <w:jc w:val="left"/>
        </w:trPr>
        <w:tc>
          <w:tcPr>
            <w:tcW w:w="6328"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02"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04" w:type="dxa"/>
            <w:tcBorders>
              <w:top w:val="single" w:color="000000" w:sz="4"/>
              <w:left w:val="single" w:color="000000" w:sz="4"/>
              <w:bottom w:val="single" w:color="000000" w:sz="4"/>
              <w:right w:val="single" w:color="000000" w:sz="4"/>
            </w:tcBorders>
            <w:shd w:color="auto" w:fill="e36c0a"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Total </w:t>
            </w:r>
          </w:p>
        </w:tc>
        <w:tc>
          <w:tcPr>
            <w:tcW w:w="1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8"/>
                <w:position w:val="0"/>
                <w:sz w:val="24"/>
                <w:shd w:fill="auto" w:val="clear"/>
              </w:rPr>
              <w:t xml:space="preserve">140h</w:t>
            </w:r>
          </w:p>
        </w:tc>
      </w:tr>
    </w:tbl>
    <w:p>
      <w:pPr>
        <w:spacing w:before="0" w:after="0" w:line="240"/>
        <w:ind w:right="0" w:left="720" w:firstLine="0"/>
        <w:jc w:val="both"/>
        <w:rPr>
          <w:rFonts w:ascii="Times New Roman" w:hAnsi="Times New Roman" w:cs="Times New Roman" w:eastAsia="Times New Roman"/>
          <w:b/>
          <w:color w:val="auto"/>
          <w:spacing w:val="8"/>
          <w:position w:val="0"/>
          <w:sz w:val="24"/>
          <w:shd w:fill="FFFFFF" w:val="clear"/>
        </w:rPr>
      </w:pPr>
    </w:p>
    <w:p>
      <w:pPr>
        <w:spacing w:before="0" w:after="0" w:line="240"/>
        <w:ind w:right="0" w:left="72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                                </w:t>
      </w:r>
    </w:p>
    <w:p>
      <w:pPr>
        <w:spacing w:before="0" w:after="0" w:line="240"/>
        <w:ind w:right="0" w:left="720" w:firstLine="0"/>
        <w:jc w:val="both"/>
        <w:rPr>
          <w:rFonts w:ascii="Times New Roman" w:hAnsi="Times New Roman" w:cs="Times New Roman" w:eastAsia="Times New Roman"/>
          <w:b/>
          <w:color w:val="1F497D"/>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        </w:t>
      </w:r>
      <w:r>
        <w:rPr>
          <w:rFonts w:ascii="Times New Roman" w:hAnsi="Times New Roman" w:cs="Times New Roman" w:eastAsia="Times New Roman"/>
          <w:b/>
          <w:color w:val="1F497D"/>
          <w:spacing w:val="8"/>
          <w:position w:val="0"/>
          <w:sz w:val="24"/>
          <w:shd w:fill="FFFFFF" w:val="clear"/>
        </w:rPr>
        <w:t xml:space="preserve">       </w:t>
      </w:r>
    </w:p>
    <w:p>
      <w:pPr>
        <w:spacing w:before="100" w:after="0" w:line="240"/>
        <w:ind w:right="0" w:left="1440" w:firstLine="0"/>
        <w:jc w:val="both"/>
        <w:rPr>
          <w:rFonts w:ascii="Times New Roman" w:hAnsi="Times New Roman" w:cs="Times New Roman" w:eastAsia="Times New Roman"/>
          <w:b/>
          <w:color w:val="auto"/>
          <w:spacing w:val="8"/>
          <w:position w:val="0"/>
          <w:sz w:val="24"/>
          <w:u w:val="single"/>
          <w:shd w:fill="FFFFFF" w:val="clear"/>
        </w:rPr>
      </w:pPr>
    </w:p>
    <w:p>
      <w:pPr>
        <w:numPr>
          <w:ilvl w:val="0"/>
          <w:numId w:val="47"/>
        </w:numPr>
        <w:spacing w:before="0" w:after="0" w:line="240"/>
        <w:ind w:right="0" w:left="720" w:hanging="360"/>
        <w:jc w:val="left"/>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b/>
          <w:color w:val="auto"/>
          <w:spacing w:val="8"/>
          <w:position w:val="0"/>
          <w:sz w:val="28"/>
          <w:shd w:fill="FFFFFF" w:val="clear"/>
        </w:rPr>
        <w:t xml:space="preserve">Les ateliers de sens (AS) </w:t>
      </w:r>
    </w:p>
    <w:p>
      <w:pPr>
        <w:spacing w:before="100" w:after="0" w:line="240"/>
        <w:ind w:right="0" w:left="0" w:firstLine="0"/>
        <w:jc w:val="both"/>
        <w:rPr>
          <w:rFonts w:ascii="Times New Roman" w:hAnsi="Times New Roman" w:cs="Times New Roman" w:eastAsia="Times New Roman"/>
          <w:b/>
          <w:color w:val="auto"/>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Les AS comprenant deux modalités : les ateliers méthodologiques (AM) et les ateliers de professionnalisation(AP). </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Ces ateliers sont organisés avec les partenaires pédagogiques liés au CAFEX par une convention de partenariat. Les partenaires pédagogiques sont des organisations publiques ou privées ou de la société civile ayant  de solides références  dans leurs domaines de compétence.</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Ces organisations fournissent les experts qui encadrent les ateliers de sens. Les AS abordent essentiellement les questions relatives aux démarches et  outils méthodologiques et leur donnent la plénitude de leur sens et de leur utilité opérationnelle.</w:t>
      </w:r>
    </w:p>
    <w:p>
      <w:pPr>
        <w:numPr>
          <w:ilvl w:val="0"/>
          <w:numId w:val="49"/>
        </w:numPr>
        <w:tabs>
          <w:tab w:val="left" w:pos="720" w:leader="none"/>
        </w:tabs>
        <w:spacing w:before="100" w:after="0" w:line="240"/>
        <w:ind w:right="0" w:left="720" w:hanging="36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1-Les ateliers de méthode (AM)</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Après les UC du tronc commun, les auditeurs qui ont opté pour un même domaine de spécialisation sont organisés en groupe de spécialité dans les ateliers de méthodes (AM). Ceux-ci sont encadrés et animés par des experts spécialisés dans le même domaine de compétence. Ces ateliers peuvent être suivis de visites sur sites et visent à habituer les auditeurs aux outils méthodologiques utilisés dans leur domaine de spécialité.</w:t>
        <w:br/>
        <w:t xml:space="preserve">Les ateliers de méthode sont également des espaces de présentation et de partage de méthodes, d’outils et d’expériences innovantes pour déconstruire des concepts et des raisonnements ou apporter des réponses tangibles à des questions de développement et de société.</w:t>
      </w:r>
    </w:p>
    <w:p>
      <w:pPr>
        <w:numPr>
          <w:ilvl w:val="0"/>
          <w:numId w:val="51"/>
        </w:numPr>
        <w:tabs>
          <w:tab w:val="left" w:pos="720" w:leader="none"/>
        </w:tabs>
        <w:spacing w:before="100" w:after="0" w:line="240"/>
        <w:ind w:right="0" w:left="720" w:hanging="36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b/>
          <w:color w:val="auto"/>
          <w:spacing w:val="8"/>
          <w:position w:val="0"/>
          <w:sz w:val="24"/>
          <w:shd w:fill="FFFFFF" w:val="clear"/>
        </w:rPr>
        <w:t xml:space="preserve">2-Les ateliers de professionnalisation (AP)</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Les ateliers de professionnalisation sont des séances de mise à niveau et de mise en situation professionnelle. Les auditeurs sont encadrés et amenés par exemple à concevoir et à produire les principaux outils d’intervention et les livrables de leur mission.</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Les AP mettent un accent particulier sur la connaissance des textes qui encadrent le domaine d’activités concerné (lois, règlements, études, rapports, etc).  </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Les AP sont aussi des moments d’apprentissage et de conscientisation sur l’exercice du métier du consultant.</w:t>
      </w:r>
    </w:p>
    <w:p>
      <w:pPr>
        <w:spacing w:before="100" w:after="0" w:line="240"/>
        <w:ind w:right="0" w:left="0" w:firstLine="0"/>
        <w:jc w:val="both"/>
        <w:rPr>
          <w:rFonts w:ascii="Times New Roman" w:hAnsi="Times New Roman" w:cs="Times New Roman" w:eastAsia="Times New Roman"/>
          <w:color w:val="auto"/>
          <w:spacing w:val="8"/>
          <w:position w:val="0"/>
          <w:sz w:val="24"/>
          <w:shd w:fill="FFFFFF" w:val="clear"/>
        </w:rPr>
      </w:pPr>
      <w:r>
        <w:rPr>
          <w:rFonts w:ascii="Times New Roman" w:hAnsi="Times New Roman" w:cs="Times New Roman" w:eastAsia="Times New Roman"/>
          <w:color w:val="auto"/>
          <w:spacing w:val="8"/>
          <w:position w:val="0"/>
          <w:sz w:val="24"/>
          <w:shd w:fill="FFFFFF" w:val="clear"/>
        </w:rPr>
        <w:t xml:space="preserve">C’est dans ce cadre que sont abordées  en profondeur  les questions relatives à la </w:t>
      </w:r>
      <w:r>
        <w:rPr>
          <w:rFonts w:ascii="Times New Roman" w:hAnsi="Times New Roman" w:cs="Times New Roman" w:eastAsia="Times New Roman"/>
          <w:b/>
          <w:color w:val="auto"/>
          <w:spacing w:val="8"/>
          <w:position w:val="0"/>
          <w:sz w:val="24"/>
          <w:shd w:fill="FFFFFF" w:val="clear"/>
        </w:rPr>
        <w:t xml:space="preserve">déontologie au civisme fiscal et à l’éthique</w:t>
      </w:r>
      <w:r>
        <w:rPr>
          <w:rFonts w:ascii="Times New Roman" w:hAnsi="Times New Roman" w:cs="Times New Roman" w:eastAsia="Times New Roman"/>
          <w:color w:val="auto"/>
          <w:spacing w:val="8"/>
          <w:position w:val="0"/>
          <w:sz w:val="24"/>
          <w:shd w:fill="FFFFFF" w:val="clear"/>
        </w:rPr>
        <w:t xml:space="preserve"> du métier de consultant</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7">
    <w:abstractNumId w:val="18"/>
  </w:num>
  <w:num w:numId="47">
    <w:abstractNumId w:val="12"/>
  </w:num>
  <w:num w:numId="49">
    <w:abstractNumId w:val="6"/>
  </w:num>
  <w:num w:numId="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